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460378E7"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02029E">
        <w:rPr>
          <w:rFonts w:ascii="Arial" w:hAnsi="Arial"/>
          <w:b/>
          <w:sz w:val="24"/>
          <w:szCs w:val="24"/>
        </w:rPr>
        <w:t>3141</w:t>
      </w:r>
    </w:p>
    <w:p w14:paraId="5D43EEDF" w14:textId="0AF89878" w:rsidR="00BD0D23" w:rsidRPr="00B64708" w:rsidRDefault="001F5E35"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A729AC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74429">
        <w:rPr>
          <w:rFonts w:ascii="Arial" w:hAnsi="Arial" w:cs="Arial"/>
          <w:sz w:val="24"/>
          <w:szCs w:val="22"/>
        </w:rPr>
        <w:t>8</w:t>
      </w:r>
      <w:r w:rsidR="00BE63E2">
        <w:rPr>
          <w:rFonts w:ascii="Arial" w:hAnsi="Arial" w:cs="Arial"/>
          <w:sz w:val="24"/>
          <w:szCs w:val="22"/>
        </w:rPr>
        <w:t>.2</w:t>
      </w:r>
      <w:r w:rsidR="005F5212">
        <w:rPr>
          <w:rFonts w:ascii="Arial" w:hAnsi="Arial" w:cs="Arial"/>
          <w:sz w:val="24"/>
          <w:szCs w:val="22"/>
        </w:rPr>
        <w:t>5</w:t>
      </w:r>
      <w:r w:rsidR="00CF7D0D">
        <w:rPr>
          <w:rFonts w:ascii="Arial" w:hAnsi="Arial" w:cs="Arial"/>
          <w:sz w:val="24"/>
          <w:szCs w:val="22"/>
        </w:rPr>
        <w:t>.</w:t>
      </w:r>
      <w:r w:rsidR="005F5212">
        <w:rPr>
          <w:rFonts w:ascii="Arial" w:hAnsi="Arial" w:cs="Arial"/>
          <w:sz w:val="24"/>
          <w:szCs w:val="22"/>
        </w:rPr>
        <w:t>2.</w:t>
      </w:r>
      <w:r w:rsidR="00674429">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C848446"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8F1516">
        <w:rPr>
          <w:rFonts w:ascii="Arial" w:hAnsi="Arial" w:cs="Arial"/>
          <w:sz w:val="24"/>
          <w:lang w:val="en-US" w:eastAsia="ja-JP"/>
        </w:rPr>
        <w:t>NR NTN UL</w:t>
      </w:r>
      <w:r w:rsidR="003405B3">
        <w:rPr>
          <w:rFonts w:ascii="Arial" w:hAnsi="Arial" w:cs="Arial"/>
          <w:sz w:val="24"/>
          <w:lang w:val="en-US" w:eastAsia="ja-JP"/>
        </w:rPr>
        <w:t xml:space="preserve"> capacity enhancements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43CB619F" w:rsidR="00284627" w:rsidRDefault="00B67881" w:rsidP="00833CE7">
      <w:pPr>
        <w:spacing w:after="120"/>
        <w:jc w:val="both"/>
        <w:rPr>
          <w:lang w:eastAsia="ja-JP"/>
        </w:rPr>
      </w:pPr>
      <w:r>
        <w:rPr>
          <w:lang w:eastAsia="ja-JP"/>
        </w:rPr>
        <w:t xml:space="preserve">Work item for the third phase of </w:t>
      </w:r>
      <w:r w:rsidR="00C80EFB">
        <w:rPr>
          <w:lang w:eastAsia="ja-JP"/>
        </w:rPr>
        <w:t>NR NTN</w:t>
      </w:r>
      <w:r>
        <w:rPr>
          <w:lang w:eastAsia="ja-JP"/>
        </w:rPr>
        <w:t xml:space="preserve"> </w:t>
      </w:r>
      <w:r w:rsidR="00B61693">
        <w:rPr>
          <w:lang w:eastAsia="ja-JP"/>
        </w:rPr>
        <w:t>has been approved in [1].</w:t>
      </w:r>
      <w:r w:rsidR="00FA6BA1">
        <w:rPr>
          <w:lang w:eastAsia="ja-JP"/>
        </w:rPr>
        <w:t xml:space="preserve"> The work item includes RAN4 </w:t>
      </w:r>
      <w:r w:rsidR="00DF12F3">
        <w:rPr>
          <w:lang w:eastAsia="ja-JP"/>
        </w:rPr>
        <w:t>for multiple objectives, including UL capacity/</w:t>
      </w:r>
      <w:r w:rsidR="00FE3D52">
        <w:rPr>
          <w:lang w:eastAsia="ja-JP"/>
        </w:rPr>
        <w:t>cell throughput enhancement for FR1-NTN,</w:t>
      </w:r>
      <w:r w:rsidR="003405B3">
        <w:rPr>
          <w:lang w:eastAsia="ja-JP"/>
        </w:rPr>
        <w:t xml:space="preserve"> with a sub-objective to update RF requirements accordingly, if needed. In this contribution RAN4 RF impact is discussion</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BAE41EC" w14:textId="1185F75F" w:rsidR="003D5A4E" w:rsidRDefault="00AC76C3" w:rsidP="003D5A4E">
      <w:pPr>
        <w:rPr>
          <w:lang w:eastAsia="ja-JP"/>
        </w:rPr>
      </w:pPr>
      <w:r>
        <w:rPr>
          <w:lang w:eastAsia="ja-JP"/>
        </w:rPr>
        <w:t>RAN1 has already been working on the work item for a few meetings</w:t>
      </w:r>
      <w:r w:rsidR="00045144">
        <w:rPr>
          <w:lang w:eastAsia="ja-JP"/>
        </w:rPr>
        <w:t xml:space="preserve"> and reached initial agreements on the scope of the capacity enhancements. </w:t>
      </w:r>
      <w:r w:rsidR="001F2A07">
        <w:rPr>
          <w:lang w:eastAsia="ja-JP"/>
        </w:rPr>
        <w:t>Relevant agreements from RAN1#117 have been reproduced below:</w:t>
      </w:r>
    </w:p>
    <w:p w14:paraId="67FF268F" w14:textId="77777777" w:rsidR="001F2A07" w:rsidRDefault="001F2A07" w:rsidP="003D5A4E">
      <w:pPr>
        <w:rPr>
          <w:lang w:eastAsia="ja-JP"/>
        </w:rPr>
      </w:pPr>
    </w:p>
    <w:p w14:paraId="7F1D0177" w14:textId="77777777" w:rsidR="00505A45" w:rsidRPr="00505A45" w:rsidRDefault="00505A45" w:rsidP="00505A45">
      <w:pPr>
        <w:rPr>
          <w:highlight w:val="green"/>
          <w:lang w:val="en-US" w:eastAsia="ja-JP"/>
        </w:rPr>
      </w:pPr>
      <w:r w:rsidRPr="00505A45">
        <w:rPr>
          <w:highlight w:val="green"/>
          <w:lang w:val="en-US" w:eastAsia="ja-JP"/>
        </w:rPr>
        <w:t>Agreement</w:t>
      </w:r>
    </w:p>
    <w:p w14:paraId="16CE21F4" w14:textId="77777777" w:rsidR="00505A45" w:rsidRPr="00505A45" w:rsidRDefault="00505A45" w:rsidP="00505A45">
      <w:pPr>
        <w:rPr>
          <w:lang w:val="en-US" w:eastAsia="ja-JP"/>
        </w:rPr>
      </w:pPr>
      <w:r w:rsidRPr="00505A45">
        <w:rPr>
          <w:lang w:val="en-US" w:eastAsia="ja-JP"/>
        </w:rPr>
        <w:t>For the normative phase, at least one of the OCC techniques will be specified:</w:t>
      </w:r>
    </w:p>
    <w:p w14:paraId="7CF93A85" w14:textId="77777777" w:rsidR="00505A45" w:rsidRPr="00505A45" w:rsidRDefault="00505A45" w:rsidP="00505A45">
      <w:pPr>
        <w:numPr>
          <w:ilvl w:val="0"/>
          <w:numId w:val="41"/>
        </w:numPr>
        <w:rPr>
          <w:lang w:val="en-US" w:eastAsia="ja-JP"/>
        </w:rPr>
      </w:pPr>
      <w:r w:rsidRPr="00505A45">
        <w:rPr>
          <w:lang w:val="en-US" w:eastAsia="ja-JP"/>
        </w:rPr>
        <w:t>Inter-slot time-domain OCC with PUSCH repetition Type A with OCC length 2 or 4</w:t>
      </w:r>
    </w:p>
    <w:p w14:paraId="0046F8F5" w14:textId="77777777" w:rsidR="00505A45" w:rsidRPr="00505A45" w:rsidRDefault="00505A45" w:rsidP="00505A45">
      <w:pPr>
        <w:numPr>
          <w:ilvl w:val="0"/>
          <w:numId w:val="41"/>
        </w:numPr>
        <w:rPr>
          <w:lang w:val="en-US" w:eastAsia="ja-JP"/>
        </w:rPr>
      </w:pPr>
      <w:r w:rsidRPr="00505A45">
        <w:rPr>
          <w:lang w:val="en-US" w:eastAsia="ja-JP"/>
        </w:rPr>
        <w:t>Inter-symbol(s) time domain OCC with OCC length 2 or 4</w:t>
      </w:r>
    </w:p>
    <w:p w14:paraId="3DC96D33" w14:textId="77777777" w:rsidR="00505A45" w:rsidRPr="00505A45" w:rsidRDefault="00505A45" w:rsidP="00505A45">
      <w:pPr>
        <w:numPr>
          <w:ilvl w:val="0"/>
          <w:numId w:val="41"/>
        </w:numPr>
        <w:rPr>
          <w:lang w:val="en-US" w:eastAsia="ja-JP"/>
        </w:rPr>
      </w:pPr>
      <w:r w:rsidRPr="00505A45">
        <w:rPr>
          <w:lang w:val="en-US" w:eastAsia="ja-JP"/>
        </w:rPr>
        <w:t>Intra-symbol pre-DFT-s OCC (comb-like structure as in PUCCH format 4) with OCC length 2 or 4</w:t>
      </w:r>
    </w:p>
    <w:p w14:paraId="736F1F15" w14:textId="77777777" w:rsidR="00505A45" w:rsidRPr="00505A45" w:rsidRDefault="00505A45" w:rsidP="00505A45">
      <w:pPr>
        <w:numPr>
          <w:ilvl w:val="0"/>
          <w:numId w:val="41"/>
        </w:numPr>
        <w:rPr>
          <w:lang w:val="en-US" w:eastAsia="ja-JP"/>
        </w:rPr>
      </w:pPr>
      <w:r w:rsidRPr="00505A45">
        <w:rPr>
          <w:lang w:val="en-US" w:eastAsia="ja-JP"/>
        </w:rPr>
        <w:t>FFS Combination of OCC techniques including multiplexing of 8 UEs</w:t>
      </w:r>
    </w:p>
    <w:p w14:paraId="090863E4" w14:textId="77777777" w:rsidR="00505A45" w:rsidRPr="00505A45" w:rsidRDefault="00505A45" w:rsidP="00505A45">
      <w:pPr>
        <w:numPr>
          <w:ilvl w:val="0"/>
          <w:numId w:val="41"/>
        </w:numPr>
        <w:rPr>
          <w:lang w:val="en-US" w:eastAsia="ja-JP"/>
        </w:rPr>
      </w:pPr>
      <w:r w:rsidRPr="00505A45">
        <w:rPr>
          <w:lang w:val="en-US" w:eastAsia="ja-JP"/>
        </w:rPr>
        <w:t>FFS Use of OCC techniques with TBoMS</w:t>
      </w:r>
    </w:p>
    <w:p w14:paraId="21ECCDAA" w14:textId="6402EF7A" w:rsidR="00505A45" w:rsidRPr="00505A45" w:rsidRDefault="00505A45" w:rsidP="00505A45">
      <w:pPr>
        <w:numPr>
          <w:ilvl w:val="0"/>
          <w:numId w:val="41"/>
        </w:numPr>
        <w:rPr>
          <w:lang w:val="en-US" w:eastAsia="ja-JP"/>
        </w:rPr>
      </w:pPr>
      <w:r w:rsidRPr="00505A45">
        <w:rPr>
          <w:lang w:val="en-US" w:eastAsia="ja-JP"/>
        </w:rPr>
        <w:t>FFS Backward compatibility with non-Rel-19 U</w:t>
      </w:r>
      <w:r>
        <w:rPr>
          <w:lang w:val="en-US" w:eastAsia="ja-JP"/>
        </w:rPr>
        <w:t>E</w:t>
      </w:r>
      <w:r w:rsidRPr="00505A45">
        <w:rPr>
          <w:lang w:val="en-US" w:eastAsia="ja-JP"/>
        </w:rPr>
        <w:t>s</w:t>
      </w:r>
    </w:p>
    <w:p w14:paraId="7287FEA2" w14:textId="77777777" w:rsidR="001F2A07" w:rsidRPr="00505A45" w:rsidRDefault="001F2A07" w:rsidP="003D5A4E">
      <w:pPr>
        <w:rPr>
          <w:lang w:val="en-US" w:eastAsia="ja-JP"/>
        </w:rPr>
      </w:pPr>
    </w:p>
    <w:p w14:paraId="57462943" w14:textId="3D03F22A" w:rsidR="003D5A4E" w:rsidRDefault="00B86189" w:rsidP="001F5E35">
      <w:pPr>
        <w:spacing w:after="120"/>
        <w:rPr>
          <w:bCs/>
        </w:rPr>
      </w:pPr>
      <w:r>
        <w:rPr>
          <w:bCs/>
        </w:rPr>
        <w:t xml:space="preserve">Furthermore, </w:t>
      </w:r>
      <w:r w:rsidR="00920D92">
        <w:rPr>
          <w:bCs/>
        </w:rPr>
        <w:t>the work item itself rules out enhancements to PRACH and PUSCH DMRS</w:t>
      </w:r>
      <w:r w:rsidR="00D565D8">
        <w:rPr>
          <w:bCs/>
        </w:rPr>
        <w:t>, therefore it is sufficient to focus on PUSCH.</w:t>
      </w:r>
    </w:p>
    <w:p w14:paraId="20882AC1" w14:textId="77D6049C" w:rsidR="00BD7290" w:rsidRDefault="00BD7290" w:rsidP="001F5E35">
      <w:pPr>
        <w:spacing w:after="120"/>
        <w:rPr>
          <w:b/>
        </w:rPr>
      </w:pPr>
      <w:r w:rsidRPr="00BD7290">
        <w:rPr>
          <w:b/>
        </w:rPr>
        <w:t>Proposal 1:</w:t>
      </w:r>
      <w:r>
        <w:rPr>
          <w:b/>
        </w:rPr>
        <w:t xml:space="preserve"> </w:t>
      </w:r>
      <w:r w:rsidR="00D565D8">
        <w:rPr>
          <w:b/>
        </w:rPr>
        <w:t xml:space="preserve">RAN4 needs to evaluate whether there is any requirement impact from the </w:t>
      </w:r>
      <w:r w:rsidR="001B5DD2">
        <w:rPr>
          <w:b/>
        </w:rPr>
        <w:t>orthogonal cover code (OCC) schemes.</w:t>
      </w:r>
      <w:r w:rsidR="005A2160">
        <w:rPr>
          <w:b/>
        </w:rPr>
        <w:t xml:space="preserve"> </w:t>
      </w:r>
    </w:p>
    <w:p w14:paraId="7FF4E7D6" w14:textId="722E3B32" w:rsidR="00E65A8B" w:rsidRDefault="005C4AE1" w:rsidP="001F5E35">
      <w:pPr>
        <w:spacing w:after="120"/>
        <w:rPr>
          <w:bCs/>
        </w:rPr>
      </w:pPr>
      <w:r>
        <w:rPr>
          <w:bCs/>
        </w:rPr>
        <w:t xml:space="preserve">The </w:t>
      </w:r>
      <w:r w:rsidR="008A4FD0">
        <w:rPr>
          <w:bCs/>
        </w:rPr>
        <w:t xml:space="preserve">basic operating principle of </w:t>
      </w:r>
      <w:r>
        <w:rPr>
          <w:bCs/>
        </w:rPr>
        <w:t xml:space="preserve">symbol- and slot-level </w:t>
      </w:r>
      <w:r w:rsidR="00611700">
        <w:rPr>
          <w:bCs/>
        </w:rPr>
        <w:t>orthogonal cover code (OCC)</w:t>
      </w:r>
      <w:r>
        <w:rPr>
          <w:bCs/>
        </w:rPr>
        <w:t xml:space="preserve"> schemes </w:t>
      </w:r>
      <w:r w:rsidR="008A4FD0">
        <w:rPr>
          <w:bCs/>
        </w:rPr>
        <w:t xml:space="preserve">are that </w:t>
      </w:r>
      <w:r w:rsidR="008C1AA6">
        <w:rPr>
          <w:bCs/>
        </w:rPr>
        <w:t xml:space="preserve">UE data </w:t>
      </w:r>
      <w:r w:rsidR="00462315">
        <w:rPr>
          <w:bCs/>
        </w:rPr>
        <w:t>symbols are</w:t>
      </w:r>
      <w:r w:rsidR="008C1AA6">
        <w:rPr>
          <w:bCs/>
        </w:rPr>
        <w:t xml:space="preserve"> </w:t>
      </w:r>
      <w:r w:rsidR="00C00833">
        <w:rPr>
          <w:bCs/>
        </w:rPr>
        <w:t xml:space="preserve">repeated in consecutive symbols or slots </w:t>
      </w:r>
      <w:r w:rsidR="00462315">
        <w:rPr>
          <w:bCs/>
        </w:rPr>
        <w:t>multiplied</w:t>
      </w:r>
      <w:r w:rsidR="00AD5DB2">
        <w:rPr>
          <w:bCs/>
        </w:rPr>
        <w:t xml:space="preserve"> by the OCC code. This allows placing multiple UEs on the same time-frequency resource, as SAN receiver </w:t>
      </w:r>
      <w:r w:rsidR="00C6304F">
        <w:rPr>
          <w:bCs/>
        </w:rPr>
        <w:t xml:space="preserve">can still </w:t>
      </w:r>
      <w:r w:rsidR="00F210F7">
        <w:rPr>
          <w:bCs/>
        </w:rPr>
        <w:t xml:space="preserve">differentiate the UEs thanks to the </w:t>
      </w:r>
      <w:r w:rsidR="00611700">
        <w:rPr>
          <w:bCs/>
        </w:rPr>
        <w:t xml:space="preserve">OCC. This is equivalent to </w:t>
      </w:r>
      <w:r w:rsidR="00115AC7">
        <w:rPr>
          <w:bCs/>
        </w:rPr>
        <w:t xml:space="preserve">receiver seeing a linear combination of the UE signals </w:t>
      </w:r>
      <w:r w:rsidR="00043422">
        <w:rPr>
          <w:bCs/>
        </w:rPr>
        <w:t>(e.g. sig1 + sig2 in symbol#1 and sig1</w:t>
      </w:r>
      <w:r w:rsidR="000B3787">
        <w:rPr>
          <w:bCs/>
        </w:rPr>
        <w:t xml:space="preserve"> </w:t>
      </w:r>
      <w:r w:rsidR="00043422">
        <w:rPr>
          <w:bCs/>
        </w:rPr>
        <w:t>-</w:t>
      </w:r>
      <w:r w:rsidR="000B3787">
        <w:rPr>
          <w:bCs/>
        </w:rPr>
        <w:t xml:space="preserve"> </w:t>
      </w:r>
      <w:r w:rsidR="00043422">
        <w:rPr>
          <w:bCs/>
        </w:rPr>
        <w:t>sig2</w:t>
      </w:r>
      <w:r w:rsidR="000B3787">
        <w:rPr>
          <w:bCs/>
        </w:rPr>
        <w:t xml:space="preserve"> in symbol#2) </w:t>
      </w:r>
      <w:r w:rsidR="00ED5F1B">
        <w:rPr>
          <w:bCs/>
        </w:rPr>
        <w:t xml:space="preserve">and solving for sig1 and sig2. </w:t>
      </w:r>
      <w:r w:rsidR="0086631E">
        <w:rPr>
          <w:bCs/>
        </w:rPr>
        <w:t xml:space="preserve">This is illustrated in Figure 1. </w:t>
      </w:r>
      <w:r w:rsidR="00ED5F1B">
        <w:rPr>
          <w:bCs/>
        </w:rPr>
        <w:t xml:space="preserve">Capacity enhancement is </w:t>
      </w:r>
      <w:r w:rsidR="00EC3CC4">
        <w:rPr>
          <w:bCs/>
        </w:rPr>
        <w:t>taking place</w:t>
      </w:r>
      <w:r w:rsidR="00ED5F1B">
        <w:rPr>
          <w:bCs/>
        </w:rPr>
        <w:t xml:space="preserve"> because multiple UEs can </w:t>
      </w:r>
      <w:r w:rsidR="00EC3CC4">
        <w:rPr>
          <w:bCs/>
        </w:rPr>
        <w:t>use the same subcarrier, while without the OCC scheme only single user would</w:t>
      </w:r>
      <w:r w:rsidR="00BE390C">
        <w:rPr>
          <w:bCs/>
        </w:rPr>
        <w:t xml:space="preserve"> occupy </w:t>
      </w:r>
      <w:r w:rsidR="00DE7B2E">
        <w:rPr>
          <w:bCs/>
        </w:rPr>
        <w:t>the subcarrier</w:t>
      </w:r>
      <w:r w:rsidR="00B40B23">
        <w:rPr>
          <w:bCs/>
        </w:rPr>
        <w:t xml:space="preserve"> </w:t>
      </w:r>
      <w:r w:rsidR="00E65A8B">
        <w:rPr>
          <w:bCs/>
        </w:rPr>
        <w:t>all the time even in the case where the amount of data being sent would be minuscule.</w:t>
      </w:r>
    </w:p>
    <w:p w14:paraId="483BCAFC" w14:textId="77777777" w:rsidR="0086631E" w:rsidRDefault="0086631E" w:rsidP="001F5E35">
      <w:pPr>
        <w:spacing w:after="120"/>
        <w:rPr>
          <w:bCs/>
        </w:rPr>
      </w:pPr>
    </w:p>
    <w:p w14:paraId="745905C0" w14:textId="02A693A4" w:rsidR="0086631E" w:rsidRDefault="00D3240E" w:rsidP="0086631E">
      <w:pPr>
        <w:keepNext/>
        <w:jc w:val="center"/>
      </w:pPr>
      <w:r w:rsidRPr="00B3073F">
        <w:rPr>
          <w:noProof/>
          <w:lang w:val="en-US"/>
        </w:rPr>
        <w:lastRenderedPageBreak/>
        <w:drawing>
          <wp:inline distT="0" distB="0" distL="0" distR="0" wp14:anchorId="142DC1DB" wp14:editId="5E126481">
            <wp:extent cx="3692035" cy="2968557"/>
            <wp:effectExtent l="0" t="0" r="0" b="0"/>
            <wp:docPr id="1026160870" name="Picture 1026160870"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160870" name="Picture 1026160870" descr="A diagram of a computer program&#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92035" cy="2968557"/>
                    </a:xfrm>
                    <a:prstGeom prst="rect">
                      <a:avLst/>
                    </a:prstGeom>
                  </pic:spPr>
                </pic:pic>
              </a:graphicData>
            </a:graphic>
          </wp:inline>
        </w:drawing>
      </w:r>
    </w:p>
    <w:p w14:paraId="163E81E6" w14:textId="50AD0C7C" w:rsidR="0086631E" w:rsidRPr="00082A5B" w:rsidRDefault="0086631E" w:rsidP="0086631E">
      <w:pPr>
        <w:pStyle w:val="Caption"/>
        <w:jc w:val="center"/>
      </w:pPr>
      <w:r>
        <w:t xml:space="preserve">Figure 1 </w:t>
      </w:r>
      <w:r w:rsidR="00832ED5">
        <w:t>Symbol-level</w:t>
      </w:r>
      <w:r>
        <w:t xml:space="preserve"> OCC</w:t>
      </w:r>
      <w:r w:rsidR="00832ED5">
        <w:t xml:space="preserve"> for two UEs</w:t>
      </w:r>
    </w:p>
    <w:p w14:paraId="0E4B2863" w14:textId="77777777" w:rsidR="0086631E" w:rsidRDefault="0086631E" w:rsidP="001F5E35">
      <w:pPr>
        <w:spacing w:after="120"/>
        <w:rPr>
          <w:bCs/>
        </w:rPr>
      </w:pPr>
    </w:p>
    <w:p w14:paraId="1EC788AA" w14:textId="7986A3CB" w:rsidR="00B86189" w:rsidRDefault="00874FCD" w:rsidP="001F5E35">
      <w:pPr>
        <w:spacing w:after="120"/>
        <w:rPr>
          <w:bCs/>
        </w:rPr>
      </w:pPr>
      <w:r>
        <w:rPr>
          <w:bCs/>
        </w:rPr>
        <w:t xml:space="preserve">Adding the </w:t>
      </w:r>
      <w:r w:rsidR="00CD37A5">
        <w:rPr>
          <w:bCs/>
        </w:rPr>
        <w:t xml:space="preserve">symbol- or slot-level </w:t>
      </w:r>
      <w:r>
        <w:rPr>
          <w:bCs/>
        </w:rPr>
        <w:t>OCC scheme as part of the signal generation</w:t>
      </w:r>
      <w:r w:rsidR="00CD37A5">
        <w:rPr>
          <w:bCs/>
        </w:rPr>
        <w:t xml:space="preserve"> in UE transmitter does not alter the signal characteristics</w:t>
      </w:r>
      <w:r w:rsidR="00C804BA">
        <w:rPr>
          <w:bCs/>
        </w:rPr>
        <w:t xml:space="preserve">. That is, e.g. peak-to-average ratio </w:t>
      </w:r>
      <w:r w:rsidR="00E31D94">
        <w:rPr>
          <w:bCs/>
        </w:rPr>
        <w:t>stays unchanged if the symbol is multiplied by a constant.</w:t>
      </w:r>
      <w:r w:rsidR="00531025">
        <w:rPr>
          <w:bCs/>
        </w:rPr>
        <w:t xml:space="preserve"> </w:t>
      </w:r>
      <w:r w:rsidR="00431D99">
        <w:rPr>
          <w:bCs/>
        </w:rPr>
        <w:t>Applying the OCC</w:t>
      </w:r>
      <w:r w:rsidR="009C4ECB">
        <w:rPr>
          <w:bCs/>
        </w:rPr>
        <w:t xml:space="preserve"> can be considered equivalent to </w:t>
      </w:r>
      <w:r w:rsidR="00431D99">
        <w:rPr>
          <w:bCs/>
        </w:rPr>
        <w:t xml:space="preserve">changing </w:t>
      </w:r>
      <w:r w:rsidR="000B1266">
        <w:rPr>
          <w:bCs/>
        </w:rPr>
        <w:t>the order of the constellation points</w:t>
      </w:r>
      <w:r w:rsidR="00431D99">
        <w:rPr>
          <w:bCs/>
        </w:rPr>
        <w:t xml:space="preserve">. Using BPSK as an example for simplicity, if the original data </w:t>
      </w:r>
      <w:r w:rsidR="00C1295A">
        <w:rPr>
          <w:bCs/>
        </w:rPr>
        <w:t xml:space="preserve">is mapped to symbols </w:t>
      </w:r>
      <w:r w:rsidR="00745345">
        <w:rPr>
          <w:bCs/>
        </w:rPr>
        <w:t xml:space="preserve">+1 +1, after the repetition and applying OCC of [1, -1] the outcome is </w:t>
      </w:r>
      <w:r w:rsidR="003F572A">
        <w:rPr>
          <w:bCs/>
        </w:rPr>
        <w:t xml:space="preserve">+1 -1 +1 -1. This is no different from having different random data from the start. </w:t>
      </w:r>
      <w:r w:rsidR="00DF21A0">
        <w:rPr>
          <w:bCs/>
        </w:rPr>
        <w:t>Therefore, it can be concluded that the symbol- and slot level OCC schemes do not impact waveform characteristics, and therefore they do not impact UE emissions either.</w:t>
      </w:r>
    </w:p>
    <w:p w14:paraId="4DEE8A3F" w14:textId="2F777E8F" w:rsidR="000B52A0" w:rsidRPr="000B52A0" w:rsidRDefault="000B52A0" w:rsidP="001F5E35">
      <w:pPr>
        <w:spacing w:after="120"/>
        <w:rPr>
          <w:bCs/>
        </w:rPr>
      </w:pPr>
      <w:r w:rsidRPr="000B52A0">
        <w:rPr>
          <w:bCs/>
        </w:rPr>
        <w:t>Given that</w:t>
      </w:r>
      <w:r>
        <w:rPr>
          <w:bCs/>
        </w:rPr>
        <w:t xml:space="preserve"> the waveform characteristics do not change, it can be also considered that </w:t>
      </w:r>
      <w:r w:rsidR="00E742C2">
        <w:rPr>
          <w:bCs/>
        </w:rPr>
        <w:t>signal quality (EVM) is sufficiently tested with current requirements.</w:t>
      </w:r>
    </w:p>
    <w:p w14:paraId="4A82A73D" w14:textId="759BBFC0" w:rsidR="00E742C2" w:rsidRDefault="00E742C2" w:rsidP="00E742C2">
      <w:pPr>
        <w:spacing w:after="120"/>
        <w:rPr>
          <w:b/>
        </w:rPr>
      </w:pPr>
      <w:r w:rsidRPr="000803EC">
        <w:rPr>
          <w:b/>
        </w:rPr>
        <w:t>Proposal 2: There is no UE RF requirement impact from symbol- or slot-level OCC schemes</w:t>
      </w:r>
      <w:r w:rsidR="001B46A3">
        <w:rPr>
          <w:b/>
        </w:rPr>
        <w:t>.</w:t>
      </w:r>
    </w:p>
    <w:p w14:paraId="696EB8A8" w14:textId="025F2877" w:rsidR="001B46A3" w:rsidRPr="001B46A3" w:rsidRDefault="001B46A3" w:rsidP="00E742C2">
      <w:pPr>
        <w:spacing w:after="120"/>
        <w:rPr>
          <w:bCs/>
        </w:rPr>
      </w:pPr>
      <w:r>
        <w:rPr>
          <w:bCs/>
        </w:rPr>
        <w:t xml:space="preserve">The third OCC-scheme under discussion is </w:t>
      </w:r>
      <w:r w:rsidR="00497442">
        <w:rPr>
          <w:bCs/>
        </w:rPr>
        <w:t xml:space="preserve">a comb-based OCC applied to subcarrier, which effectively distributes the data the </w:t>
      </w:r>
      <w:r w:rsidR="00A30707">
        <w:rPr>
          <w:bCs/>
        </w:rPr>
        <w:t>non-contiguous subcarriers with constant frequency spacing</w:t>
      </w:r>
      <w:r w:rsidR="00263EBE">
        <w:rPr>
          <w:bCs/>
        </w:rPr>
        <w:t>, as shown in Figure 2.</w:t>
      </w:r>
    </w:p>
    <w:p w14:paraId="16D62582" w14:textId="77777777" w:rsidR="00BF4CA5" w:rsidRDefault="00BF4CA5" w:rsidP="00445E27">
      <w:pPr>
        <w:spacing w:after="120"/>
        <w:rPr>
          <w:bCs/>
        </w:rPr>
      </w:pPr>
    </w:p>
    <w:p w14:paraId="43F89E47" w14:textId="77777777" w:rsidR="00D47A50" w:rsidRPr="00B3073F" w:rsidRDefault="00D47A50" w:rsidP="00D47A50">
      <w:pPr>
        <w:jc w:val="center"/>
        <w:rPr>
          <w:lang w:val="en-US"/>
        </w:rPr>
      </w:pPr>
      <w:r w:rsidRPr="00B3073F">
        <w:rPr>
          <w:noProof/>
          <w:lang w:val="en-US"/>
        </w:rPr>
        <w:drawing>
          <wp:inline distT="0" distB="0" distL="0" distR="0" wp14:anchorId="39D0E9A6" wp14:editId="22724E2C">
            <wp:extent cx="3581351" cy="2790447"/>
            <wp:effectExtent l="0" t="0" r="635" b="0"/>
            <wp:docPr id="802002553" name="Picture 802002553"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02553" name="Picture 802002553" descr="A diagram of a computer pro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7084" cy="2794914"/>
                    </a:xfrm>
                    <a:prstGeom prst="rect">
                      <a:avLst/>
                    </a:prstGeom>
                  </pic:spPr>
                </pic:pic>
              </a:graphicData>
            </a:graphic>
          </wp:inline>
        </w:drawing>
      </w:r>
    </w:p>
    <w:p w14:paraId="33DCD47F" w14:textId="5F0AD110" w:rsidR="00D47A50" w:rsidRDefault="00D47A50" w:rsidP="00D47A50">
      <w:pPr>
        <w:jc w:val="center"/>
        <w:rPr>
          <w:b/>
          <w:bCs/>
          <w:lang w:val="en-US" w:eastAsia="ja-JP"/>
        </w:rPr>
      </w:pPr>
      <w:r w:rsidRPr="00D47A50">
        <w:rPr>
          <w:b/>
          <w:bCs/>
          <w:lang w:val="en-US"/>
        </w:rPr>
        <w:t xml:space="preserve">Figure 2: </w:t>
      </w:r>
      <w:r w:rsidRPr="00505A45">
        <w:rPr>
          <w:b/>
          <w:bCs/>
          <w:lang w:val="en-US" w:eastAsia="ja-JP"/>
        </w:rPr>
        <w:t>pre-DFT-s OCC</w:t>
      </w:r>
      <w:r w:rsidRPr="00D47A50">
        <w:rPr>
          <w:b/>
          <w:bCs/>
          <w:lang w:val="en-US" w:eastAsia="ja-JP"/>
        </w:rPr>
        <w:t xml:space="preserve"> for 2 UEs</w:t>
      </w:r>
    </w:p>
    <w:p w14:paraId="4D240334" w14:textId="77777777" w:rsidR="00D55DF2" w:rsidRDefault="00263EBE" w:rsidP="00D47A50">
      <w:pPr>
        <w:rPr>
          <w:lang w:val="en-US" w:eastAsia="ja-JP"/>
        </w:rPr>
      </w:pPr>
      <w:r>
        <w:rPr>
          <w:lang w:val="en-US" w:eastAsia="ja-JP"/>
        </w:rPr>
        <w:lastRenderedPageBreak/>
        <w:t xml:space="preserve">This scheme enables capacity enhancement by allowing to schedule multiple UEs within the same resource block, instead of reserving the whole resource block for a single UE. </w:t>
      </w:r>
      <w:r w:rsidR="00D47A50" w:rsidRPr="00D47A50">
        <w:rPr>
          <w:lang w:val="en-US" w:eastAsia="ja-JP"/>
        </w:rPr>
        <w:t xml:space="preserve">As </w:t>
      </w:r>
      <w:r w:rsidR="00D47A50">
        <w:rPr>
          <w:lang w:val="en-US" w:eastAsia="ja-JP"/>
        </w:rPr>
        <w:t>seen in Figure 2, the OCC coefficient</w:t>
      </w:r>
      <w:r>
        <w:rPr>
          <w:lang w:val="en-US" w:eastAsia="ja-JP"/>
        </w:rPr>
        <w:t>s keep the total power constant, i.e. transmitted PSD is boosted for the active subcarriers.</w:t>
      </w:r>
    </w:p>
    <w:p w14:paraId="3B62E09C" w14:textId="0017E4BA" w:rsidR="00D55DF2" w:rsidRDefault="000A0643" w:rsidP="00D47A50">
      <w:pPr>
        <w:rPr>
          <w:lang w:val="en-US" w:eastAsia="ja-JP"/>
        </w:rPr>
      </w:pPr>
      <w:r>
        <w:rPr>
          <w:lang w:val="en-US" w:eastAsia="ja-JP"/>
        </w:rPr>
        <w:t xml:space="preserve">The waveform type is </w:t>
      </w:r>
      <w:proofErr w:type="gramStart"/>
      <w:r>
        <w:rPr>
          <w:lang w:val="en-US" w:eastAsia="ja-JP"/>
        </w:rPr>
        <w:t>similar to</w:t>
      </w:r>
      <w:proofErr w:type="gramEnd"/>
      <w:r>
        <w:rPr>
          <w:lang w:val="en-US" w:eastAsia="ja-JP"/>
        </w:rPr>
        <w:t xml:space="preserve"> PUCCH format 4, which also constitutes from a frequency domain comb. Due to the </w:t>
      </w:r>
      <w:proofErr w:type="gramStart"/>
      <w:r>
        <w:rPr>
          <w:lang w:val="en-US" w:eastAsia="ja-JP"/>
        </w:rPr>
        <w:t>similarity</w:t>
      </w:r>
      <w:proofErr w:type="gramEnd"/>
      <w:r>
        <w:rPr>
          <w:lang w:val="en-US" w:eastAsia="ja-JP"/>
        </w:rPr>
        <w:t xml:space="preserve"> it is expected that </w:t>
      </w:r>
      <w:r w:rsidR="00461D2A">
        <w:rPr>
          <w:lang w:val="en-US" w:eastAsia="ja-JP"/>
        </w:rPr>
        <w:t>requirement impacts would be small, if there would be any.</w:t>
      </w:r>
    </w:p>
    <w:p w14:paraId="18D0FFC8" w14:textId="615FAE0E" w:rsidR="00D47A50" w:rsidRDefault="00D55DF2" w:rsidP="00D47A50">
      <w:pPr>
        <w:rPr>
          <w:b/>
          <w:bCs/>
          <w:lang w:val="en-US" w:eastAsia="ja-JP"/>
        </w:rPr>
      </w:pPr>
      <w:r w:rsidRPr="00D55DF2">
        <w:rPr>
          <w:b/>
          <w:bCs/>
          <w:lang w:val="en-US" w:eastAsia="ja-JP"/>
        </w:rPr>
        <w:t>Observation 1:</w:t>
      </w:r>
      <w:r w:rsidR="00461D2A">
        <w:rPr>
          <w:b/>
          <w:bCs/>
          <w:lang w:val="en-US" w:eastAsia="ja-JP"/>
        </w:rPr>
        <w:t xml:space="preserve"> Waveform </w:t>
      </w:r>
      <w:r w:rsidR="003717D9">
        <w:rPr>
          <w:b/>
          <w:bCs/>
          <w:lang w:val="en-US" w:eastAsia="ja-JP"/>
        </w:rPr>
        <w:t xml:space="preserve">from </w:t>
      </w:r>
      <w:r w:rsidR="00461D2A" w:rsidRPr="00505A45">
        <w:rPr>
          <w:b/>
          <w:bCs/>
          <w:lang w:val="en-US" w:eastAsia="ja-JP"/>
        </w:rPr>
        <w:t>pre-DFT-s OCC</w:t>
      </w:r>
      <w:r w:rsidR="003717D9">
        <w:rPr>
          <w:b/>
          <w:bCs/>
          <w:lang w:val="en-US" w:eastAsia="ja-JP"/>
        </w:rPr>
        <w:t xml:space="preserve">-scheme is </w:t>
      </w:r>
      <w:proofErr w:type="gramStart"/>
      <w:r w:rsidR="003717D9">
        <w:rPr>
          <w:b/>
          <w:bCs/>
          <w:lang w:val="en-US" w:eastAsia="ja-JP"/>
        </w:rPr>
        <w:t>similar to</w:t>
      </w:r>
      <w:proofErr w:type="gramEnd"/>
      <w:r w:rsidR="003717D9">
        <w:rPr>
          <w:b/>
          <w:bCs/>
          <w:lang w:val="en-US" w:eastAsia="ja-JP"/>
        </w:rPr>
        <w:t xml:space="preserve"> PUCCH format 4, and therefore specification impact is </w:t>
      </w:r>
      <w:r w:rsidR="00C720B8">
        <w:rPr>
          <w:b/>
          <w:bCs/>
          <w:lang w:val="en-US" w:eastAsia="ja-JP"/>
        </w:rPr>
        <w:t xml:space="preserve">expected to be </w:t>
      </w:r>
      <w:r w:rsidR="003717D9">
        <w:rPr>
          <w:b/>
          <w:bCs/>
          <w:lang w:val="en-US" w:eastAsia="ja-JP"/>
        </w:rPr>
        <w:t>minor, if any</w:t>
      </w:r>
      <w:r w:rsidR="00C720B8">
        <w:rPr>
          <w:b/>
          <w:bCs/>
          <w:lang w:val="en-US" w:eastAsia="ja-JP"/>
        </w:rPr>
        <w:t xml:space="preserve"> at all</w:t>
      </w:r>
      <w:r w:rsidR="003717D9">
        <w:rPr>
          <w:b/>
          <w:bCs/>
          <w:lang w:val="en-US" w:eastAsia="ja-JP"/>
        </w:rPr>
        <w:t>.</w:t>
      </w:r>
    </w:p>
    <w:p w14:paraId="13112766" w14:textId="6A2E4A7C" w:rsidR="00C720B8" w:rsidRPr="00C720B8" w:rsidRDefault="00C720B8" w:rsidP="00D47A50">
      <w:pPr>
        <w:rPr>
          <w:lang w:val="en-US" w:eastAsia="ja-JP"/>
        </w:rPr>
      </w:pPr>
      <w:r>
        <w:rPr>
          <w:lang w:val="en-US" w:eastAsia="ja-JP"/>
        </w:rPr>
        <w:t xml:space="preserve">Initial evaluations were conducted, and so </w:t>
      </w:r>
      <w:proofErr w:type="gramStart"/>
      <w:r>
        <w:rPr>
          <w:lang w:val="en-US" w:eastAsia="ja-JP"/>
        </w:rPr>
        <w:t>far</w:t>
      </w:r>
      <w:proofErr w:type="gramEnd"/>
      <w:r w:rsidR="00E05E4A">
        <w:rPr>
          <w:lang w:val="en-US" w:eastAsia="ja-JP"/>
        </w:rPr>
        <w:t xml:space="preserve"> we have observed that </w:t>
      </w:r>
      <w:r w:rsidR="00894543">
        <w:rPr>
          <w:lang w:val="en-US" w:eastAsia="ja-JP"/>
        </w:rPr>
        <w:t xml:space="preserve">placing the </w:t>
      </w:r>
      <w:r w:rsidR="00F900EC">
        <w:rPr>
          <w:lang w:val="en-US" w:eastAsia="ja-JP"/>
        </w:rPr>
        <w:t xml:space="preserve">highest PSD 3-subcarrier comb </w:t>
      </w:r>
      <w:r w:rsidR="00894543">
        <w:rPr>
          <w:lang w:val="en-US" w:eastAsia="ja-JP"/>
        </w:rPr>
        <w:t xml:space="preserve">transmission at the worst possible position from emissions perspective, i.e. at the outer edge of </w:t>
      </w:r>
      <w:r w:rsidR="001707BA">
        <w:rPr>
          <w:lang w:val="en-US" w:eastAsia="ja-JP"/>
        </w:rPr>
        <w:t xml:space="preserve">an RB placed at the outer edge (RB#0) of the </w:t>
      </w:r>
      <w:r w:rsidR="00402431">
        <w:rPr>
          <w:lang w:val="en-US" w:eastAsia="ja-JP"/>
        </w:rPr>
        <w:t>channel, and SEM mask was met in this case</w:t>
      </w:r>
      <w:r w:rsidR="00011907">
        <w:rPr>
          <w:lang w:val="en-US" w:eastAsia="ja-JP"/>
        </w:rPr>
        <w:t>.</w:t>
      </w:r>
      <w:r w:rsidR="008F058A">
        <w:rPr>
          <w:lang w:val="en-US" w:eastAsia="ja-JP"/>
        </w:rPr>
        <w:t xml:space="preserve"> 6-subcarrier comb </w:t>
      </w:r>
      <w:r w:rsidR="002D2B8F">
        <w:rPr>
          <w:lang w:val="en-US" w:eastAsia="ja-JP"/>
        </w:rPr>
        <w:t>resulted in same outcome.</w:t>
      </w:r>
    </w:p>
    <w:p w14:paraId="1863ECB6" w14:textId="46735984" w:rsidR="00011907" w:rsidRDefault="00011907" w:rsidP="00011907">
      <w:pPr>
        <w:rPr>
          <w:b/>
          <w:bCs/>
          <w:lang w:val="en-US" w:eastAsia="ja-JP"/>
        </w:rPr>
      </w:pPr>
      <w:r>
        <w:rPr>
          <w:b/>
          <w:bCs/>
          <w:lang w:val="en-US" w:eastAsia="ja-JP"/>
        </w:rPr>
        <w:t xml:space="preserve">Observation 2: UE can meet SEM mask </w:t>
      </w:r>
      <w:r w:rsidR="00F900EC">
        <w:rPr>
          <w:b/>
          <w:bCs/>
          <w:lang w:val="en-US" w:eastAsia="ja-JP"/>
        </w:rPr>
        <w:t xml:space="preserve">with </w:t>
      </w:r>
      <w:r w:rsidR="002D2B8F">
        <w:rPr>
          <w:b/>
          <w:bCs/>
          <w:lang w:val="en-US" w:eastAsia="ja-JP"/>
        </w:rPr>
        <w:t xml:space="preserve">MPR </w:t>
      </w:r>
      <w:r w:rsidR="00EC5ED8">
        <w:rPr>
          <w:b/>
          <w:bCs/>
          <w:lang w:val="en-US" w:eastAsia="ja-JP"/>
        </w:rPr>
        <w:t>specified in TS 38.101-5</w:t>
      </w:r>
      <w:r w:rsidR="00581614">
        <w:rPr>
          <w:b/>
          <w:bCs/>
          <w:lang w:val="en-US" w:eastAsia="ja-JP"/>
        </w:rPr>
        <w:t xml:space="preserve"> with 3-subcarrier and 6-subcarrier comb-transmissions at worst position </w:t>
      </w:r>
      <w:r w:rsidR="00285452">
        <w:rPr>
          <w:b/>
          <w:bCs/>
          <w:lang w:val="en-US" w:eastAsia="ja-JP"/>
        </w:rPr>
        <w:t>at outer edge of RF channel (RB#0)</w:t>
      </w:r>
    </w:p>
    <w:p w14:paraId="626B285F" w14:textId="77777777" w:rsidR="00D47A50" w:rsidRPr="00D47A50" w:rsidRDefault="00D47A50" w:rsidP="00445E27">
      <w:pPr>
        <w:spacing w:after="120"/>
        <w:rPr>
          <w:bCs/>
          <w:lang w:val="en-U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3087A4F0" w:rsidR="00D645D7" w:rsidRDefault="005F7C8C" w:rsidP="004F6404">
      <w:pPr>
        <w:spacing w:after="120"/>
        <w:jc w:val="both"/>
        <w:rPr>
          <w:lang w:eastAsia="ja-JP"/>
        </w:rPr>
      </w:pPr>
      <w:r w:rsidRPr="00501988">
        <w:rPr>
          <w:lang w:eastAsia="ja-JP"/>
        </w:rPr>
        <w:t xml:space="preserve">In this </w:t>
      </w:r>
      <w:r w:rsidR="00404EAD">
        <w:rPr>
          <w:lang w:eastAsia="ja-JP"/>
        </w:rPr>
        <w:t xml:space="preserve">contribution </w:t>
      </w:r>
      <w:r w:rsidR="00CA104F">
        <w:rPr>
          <w:lang w:eastAsia="ja-JP"/>
        </w:rPr>
        <w:t>NR NTN UL</w:t>
      </w:r>
      <w:r w:rsidR="00404EAD">
        <w:rPr>
          <w:lang w:eastAsia="ja-JP"/>
        </w:rPr>
        <w:t xml:space="preserve"> capacity enhancements </w:t>
      </w:r>
      <w:r w:rsidR="00522FB9">
        <w:rPr>
          <w:lang w:eastAsia="ja-JP"/>
        </w:rPr>
        <w:t>were discussed</w:t>
      </w:r>
      <w:r w:rsidR="00EB3836">
        <w:rPr>
          <w:lang w:eastAsia="ja-JP"/>
        </w:rPr>
        <w:t>. Following observations and proposals were made</w:t>
      </w:r>
    </w:p>
    <w:p w14:paraId="6899C825" w14:textId="77777777" w:rsidR="001B46A3" w:rsidRDefault="001B46A3" w:rsidP="001B46A3">
      <w:pPr>
        <w:spacing w:after="120"/>
        <w:rPr>
          <w:b/>
        </w:rPr>
      </w:pPr>
      <w:r w:rsidRPr="00BD7290">
        <w:rPr>
          <w:b/>
        </w:rPr>
        <w:t>Proposal 1:</w:t>
      </w:r>
      <w:r>
        <w:rPr>
          <w:b/>
        </w:rPr>
        <w:t xml:space="preserve"> RAN4 needs to evaluate whether there is any requirement impact from the orthogonal cover code (OCC) schemes. </w:t>
      </w:r>
    </w:p>
    <w:p w14:paraId="262A998A" w14:textId="77777777" w:rsidR="001B46A3" w:rsidRDefault="001B46A3" w:rsidP="001B46A3">
      <w:pPr>
        <w:spacing w:after="120"/>
        <w:rPr>
          <w:b/>
        </w:rPr>
      </w:pPr>
      <w:r w:rsidRPr="000803EC">
        <w:rPr>
          <w:b/>
        </w:rPr>
        <w:t>Proposal 2: There is no UE RF requirement impact from symbol- or slot-level OCC schemes</w:t>
      </w:r>
      <w:r>
        <w:rPr>
          <w:b/>
        </w:rPr>
        <w:t>.</w:t>
      </w:r>
    </w:p>
    <w:p w14:paraId="53BC8975" w14:textId="77777777" w:rsidR="00EC5ED8" w:rsidRDefault="00EC5ED8" w:rsidP="00EC5ED8">
      <w:pPr>
        <w:rPr>
          <w:b/>
          <w:bCs/>
          <w:lang w:val="en-US" w:eastAsia="ja-JP"/>
        </w:rPr>
      </w:pPr>
      <w:r w:rsidRPr="00D55DF2">
        <w:rPr>
          <w:b/>
          <w:bCs/>
          <w:lang w:val="en-US" w:eastAsia="ja-JP"/>
        </w:rPr>
        <w:t>Observation 1:</w:t>
      </w:r>
      <w:r>
        <w:rPr>
          <w:b/>
          <w:bCs/>
          <w:lang w:val="en-US" w:eastAsia="ja-JP"/>
        </w:rPr>
        <w:t xml:space="preserve"> Waveform from </w:t>
      </w:r>
      <w:r w:rsidRPr="00505A45">
        <w:rPr>
          <w:b/>
          <w:bCs/>
          <w:lang w:val="en-US" w:eastAsia="ja-JP"/>
        </w:rPr>
        <w:t>pre-DFT-s OCC</w:t>
      </w:r>
      <w:r>
        <w:rPr>
          <w:b/>
          <w:bCs/>
          <w:lang w:val="en-US" w:eastAsia="ja-JP"/>
        </w:rPr>
        <w:t xml:space="preserve">-scheme is </w:t>
      </w:r>
      <w:proofErr w:type="gramStart"/>
      <w:r>
        <w:rPr>
          <w:b/>
          <w:bCs/>
          <w:lang w:val="en-US" w:eastAsia="ja-JP"/>
        </w:rPr>
        <w:t>similar to</w:t>
      </w:r>
      <w:proofErr w:type="gramEnd"/>
      <w:r>
        <w:rPr>
          <w:b/>
          <w:bCs/>
          <w:lang w:val="en-US" w:eastAsia="ja-JP"/>
        </w:rPr>
        <w:t xml:space="preserve"> PUCCH format 4, and therefore specification impact is expected to be minor, if any at all.</w:t>
      </w:r>
    </w:p>
    <w:p w14:paraId="233B3356" w14:textId="39579091" w:rsidR="00285452" w:rsidRDefault="00285452" w:rsidP="00EC5ED8">
      <w:pPr>
        <w:rPr>
          <w:b/>
          <w:bCs/>
          <w:lang w:val="en-US" w:eastAsia="ja-JP"/>
        </w:rPr>
      </w:pPr>
      <w:r>
        <w:rPr>
          <w:b/>
          <w:bCs/>
          <w:lang w:val="en-US" w:eastAsia="ja-JP"/>
        </w:rPr>
        <w:t>Observation 2: UE can meet SEM mask with MPR specified in TS 38.101-5 with 3-subcarrier and 6-subcarrier comb-transmissions at worst position at outer edge of RF channel (RB#0)</w:t>
      </w:r>
    </w:p>
    <w:p w14:paraId="1B91626C" w14:textId="77777777" w:rsidR="00404EAD" w:rsidRPr="00EC5ED8" w:rsidRDefault="00404EAD" w:rsidP="00404EAD">
      <w:pPr>
        <w:spacing w:after="120"/>
        <w:rPr>
          <w:b/>
          <w:lang w:val="en-U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1F4700E"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58246E">
        <w:rPr>
          <w:rFonts w:ascii="Times New Roman" w:eastAsia="MS Mincho" w:hAnsi="Times New Roman"/>
          <w:lang w:eastAsia="de-DE"/>
        </w:rPr>
        <w:t>RP</w:t>
      </w:r>
      <w:proofErr w:type="gramEnd"/>
      <w:r w:rsidR="0058246E">
        <w:rPr>
          <w:rFonts w:ascii="Times New Roman" w:eastAsia="MS Mincho" w:hAnsi="Times New Roman"/>
          <w:lang w:eastAsia="de-DE"/>
        </w:rPr>
        <w:t>-24166</w:t>
      </w:r>
      <w:r w:rsidR="00D27581">
        <w:rPr>
          <w:rFonts w:ascii="Times New Roman" w:eastAsia="MS Mincho" w:hAnsi="Times New Roman"/>
          <w:lang w:eastAsia="de-DE"/>
        </w:rPr>
        <w:t>7</w:t>
      </w:r>
      <w:r w:rsidR="0058246E">
        <w:rPr>
          <w:rFonts w:ascii="Times New Roman" w:eastAsia="MS Mincho" w:hAnsi="Times New Roman"/>
          <w:lang w:eastAsia="de-DE"/>
        </w:rPr>
        <w:t xml:space="preserve">, </w:t>
      </w:r>
      <w:r w:rsidR="00466961" w:rsidRPr="00466961">
        <w:rPr>
          <w:rFonts w:ascii="Times New Roman" w:eastAsia="MS Mincho" w:hAnsi="Times New Roman"/>
          <w:lang w:eastAsia="de-DE"/>
        </w:rPr>
        <w:t>Revised WID: Non-Terrestrial Networks (NTN) for NR Phase 3</w:t>
      </w:r>
      <w:r w:rsidR="002F3E4B">
        <w:rPr>
          <w:rFonts w:ascii="Times New Roman" w:eastAsia="MS Mincho" w:hAnsi="Times New Roman"/>
          <w:lang w:eastAsia="de-DE"/>
        </w:rPr>
        <w:t xml:space="preserve">, </w:t>
      </w:r>
      <w:r w:rsidR="00466961">
        <w:rPr>
          <w:rFonts w:ascii="Times New Roman" w:eastAsia="MS Mincho" w:hAnsi="Times New Roman"/>
          <w:lang w:eastAsia="de-DE"/>
        </w:rPr>
        <w:t>Thales, CATT</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4635C" w14:textId="77777777" w:rsidR="006168F5" w:rsidRDefault="006168F5">
      <w:r>
        <w:separator/>
      </w:r>
    </w:p>
  </w:endnote>
  <w:endnote w:type="continuationSeparator" w:id="0">
    <w:p w14:paraId="5BB35F15" w14:textId="77777777" w:rsidR="006168F5" w:rsidRDefault="006168F5">
      <w:r>
        <w:continuationSeparator/>
      </w:r>
    </w:p>
  </w:endnote>
  <w:endnote w:type="continuationNotice" w:id="1">
    <w:p w14:paraId="1EB83C25" w14:textId="77777777" w:rsidR="006168F5" w:rsidRDefault="00616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A1F8F2" w14:textId="77777777" w:rsidR="006168F5" w:rsidRDefault="006168F5">
      <w:r>
        <w:separator/>
      </w:r>
    </w:p>
  </w:footnote>
  <w:footnote w:type="continuationSeparator" w:id="0">
    <w:p w14:paraId="30034541" w14:textId="77777777" w:rsidR="006168F5" w:rsidRDefault="006168F5">
      <w:r>
        <w:continuationSeparator/>
      </w:r>
    </w:p>
  </w:footnote>
  <w:footnote w:type="continuationNotice" w:id="1">
    <w:p w14:paraId="6090663B" w14:textId="77777777" w:rsidR="006168F5" w:rsidRDefault="006168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FA33AA"/>
    <w:multiLevelType w:val="multilevel"/>
    <w:tmpl w:val="9296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 w:numId="41" w16cid:durableId="84548741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1907"/>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029E"/>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3422"/>
    <w:rsid w:val="00044220"/>
    <w:rsid w:val="0004449B"/>
    <w:rsid w:val="00044739"/>
    <w:rsid w:val="00045144"/>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3EC"/>
    <w:rsid w:val="00080950"/>
    <w:rsid w:val="000813C0"/>
    <w:rsid w:val="00082359"/>
    <w:rsid w:val="00082B31"/>
    <w:rsid w:val="0008362A"/>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64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266"/>
    <w:rsid w:val="000B14AB"/>
    <w:rsid w:val="000B2251"/>
    <w:rsid w:val="000B2E50"/>
    <w:rsid w:val="000B3130"/>
    <w:rsid w:val="000B3659"/>
    <w:rsid w:val="000B3787"/>
    <w:rsid w:val="000B3832"/>
    <w:rsid w:val="000B3AD0"/>
    <w:rsid w:val="000B3C59"/>
    <w:rsid w:val="000B4690"/>
    <w:rsid w:val="000B46BA"/>
    <w:rsid w:val="000B49F4"/>
    <w:rsid w:val="000B50EF"/>
    <w:rsid w:val="000B52A0"/>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D7A0C"/>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AC7"/>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7BA"/>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6A3"/>
    <w:rsid w:val="001B4826"/>
    <w:rsid w:val="001B4E50"/>
    <w:rsid w:val="001B5DD2"/>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A07"/>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966"/>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865"/>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3EBE"/>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452"/>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2B8F"/>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5B3"/>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17D9"/>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2BC"/>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572A"/>
    <w:rsid w:val="003F6035"/>
    <w:rsid w:val="003F673A"/>
    <w:rsid w:val="003F6957"/>
    <w:rsid w:val="003F72BB"/>
    <w:rsid w:val="003F7AF9"/>
    <w:rsid w:val="00400C87"/>
    <w:rsid w:val="00400F8B"/>
    <w:rsid w:val="0040193C"/>
    <w:rsid w:val="00401A03"/>
    <w:rsid w:val="00401B26"/>
    <w:rsid w:val="00401C01"/>
    <w:rsid w:val="004023FA"/>
    <w:rsid w:val="00402431"/>
    <w:rsid w:val="004028D2"/>
    <w:rsid w:val="00402D1D"/>
    <w:rsid w:val="0040407D"/>
    <w:rsid w:val="00404616"/>
    <w:rsid w:val="00404E22"/>
    <w:rsid w:val="00404EAD"/>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371"/>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1D99"/>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1D2A"/>
    <w:rsid w:val="004620F5"/>
    <w:rsid w:val="0046231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6961"/>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442"/>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4717"/>
    <w:rsid w:val="00505A45"/>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025"/>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3E7"/>
    <w:rsid w:val="0058146B"/>
    <w:rsid w:val="00581614"/>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3BF"/>
    <w:rsid w:val="00597546"/>
    <w:rsid w:val="005976C6"/>
    <w:rsid w:val="0059786A"/>
    <w:rsid w:val="00597962"/>
    <w:rsid w:val="005A0D2A"/>
    <w:rsid w:val="005A1600"/>
    <w:rsid w:val="005A16B5"/>
    <w:rsid w:val="005A19B3"/>
    <w:rsid w:val="005A216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4AE1"/>
    <w:rsid w:val="005C5647"/>
    <w:rsid w:val="005C6402"/>
    <w:rsid w:val="005C690F"/>
    <w:rsid w:val="005C6CEA"/>
    <w:rsid w:val="005C78D5"/>
    <w:rsid w:val="005D0798"/>
    <w:rsid w:val="005D1501"/>
    <w:rsid w:val="005D186D"/>
    <w:rsid w:val="005D1B3A"/>
    <w:rsid w:val="005D2D1C"/>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19B"/>
    <w:rsid w:val="005F474B"/>
    <w:rsid w:val="005F5212"/>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700"/>
    <w:rsid w:val="00611A03"/>
    <w:rsid w:val="00611E86"/>
    <w:rsid w:val="0061276E"/>
    <w:rsid w:val="00612C93"/>
    <w:rsid w:val="0061380A"/>
    <w:rsid w:val="00614748"/>
    <w:rsid w:val="00614792"/>
    <w:rsid w:val="0061537D"/>
    <w:rsid w:val="00615D41"/>
    <w:rsid w:val="00616283"/>
    <w:rsid w:val="00616794"/>
    <w:rsid w:val="006168F5"/>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E7F0F"/>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45"/>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5F7"/>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2ED5"/>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31E"/>
    <w:rsid w:val="00866446"/>
    <w:rsid w:val="00866A78"/>
    <w:rsid w:val="00866AE8"/>
    <w:rsid w:val="0086714C"/>
    <w:rsid w:val="008700B6"/>
    <w:rsid w:val="008707FC"/>
    <w:rsid w:val="00870CC1"/>
    <w:rsid w:val="0087190A"/>
    <w:rsid w:val="008726FC"/>
    <w:rsid w:val="008738AC"/>
    <w:rsid w:val="00874322"/>
    <w:rsid w:val="00874FCD"/>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4543"/>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4FD0"/>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A6"/>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58A"/>
    <w:rsid w:val="008F094A"/>
    <w:rsid w:val="008F09DB"/>
    <w:rsid w:val="008F0BA0"/>
    <w:rsid w:val="008F0F4A"/>
    <w:rsid w:val="008F108B"/>
    <w:rsid w:val="008F1516"/>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0D92"/>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ECB"/>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707"/>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6EA"/>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6C3"/>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5DB2"/>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AF3"/>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23"/>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693"/>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189"/>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290"/>
    <w:rsid w:val="00BD7452"/>
    <w:rsid w:val="00BD76B1"/>
    <w:rsid w:val="00BE009F"/>
    <w:rsid w:val="00BE010E"/>
    <w:rsid w:val="00BE239D"/>
    <w:rsid w:val="00BE2AB3"/>
    <w:rsid w:val="00BE3227"/>
    <w:rsid w:val="00BE3534"/>
    <w:rsid w:val="00BE36A2"/>
    <w:rsid w:val="00BE390C"/>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33"/>
    <w:rsid w:val="00C00E22"/>
    <w:rsid w:val="00C0105D"/>
    <w:rsid w:val="00C04197"/>
    <w:rsid w:val="00C046B8"/>
    <w:rsid w:val="00C05B30"/>
    <w:rsid w:val="00C102A9"/>
    <w:rsid w:val="00C102E7"/>
    <w:rsid w:val="00C105CD"/>
    <w:rsid w:val="00C114FF"/>
    <w:rsid w:val="00C1295A"/>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155A"/>
    <w:rsid w:val="00C32BD7"/>
    <w:rsid w:val="00C3361F"/>
    <w:rsid w:val="00C3373B"/>
    <w:rsid w:val="00C33D47"/>
    <w:rsid w:val="00C34252"/>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04F"/>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0B8"/>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4BA"/>
    <w:rsid w:val="00C806C2"/>
    <w:rsid w:val="00C80EFB"/>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04F"/>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7A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581"/>
    <w:rsid w:val="00D2763D"/>
    <w:rsid w:val="00D27FCB"/>
    <w:rsid w:val="00D304CA"/>
    <w:rsid w:val="00D30D65"/>
    <w:rsid w:val="00D31077"/>
    <w:rsid w:val="00D311F9"/>
    <w:rsid w:val="00D31BDF"/>
    <w:rsid w:val="00D31F01"/>
    <w:rsid w:val="00D32097"/>
    <w:rsid w:val="00D32167"/>
    <w:rsid w:val="00D3240E"/>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47A50"/>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5DF2"/>
    <w:rsid w:val="00D56570"/>
    <w:rsid w:val="00D565D8"/>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10B"/>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2E"/>
    <w:rsid w:val="00DE7D2C"/>
    <w:rsid w:val="00DE7F08"/>
    <w:rsid w:val="00DF0A5D"/>
    <w:rsid w:val="00DF0D6B"/>
    <w:rsid w:val="00DF0E1F"/>
    <w:rsid w:val="00DF1101"/>
    <w:rsid w:val="00DF12F3"/>
    <w:rsid w:val="00DF1301"/>
    <w:rsid w:val="00DF15A5"/>
    <w:rsid w:val="00DF15D1"/>
    <w:rsid w:val="00DF21A0"/>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5E4A"/>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1D94"/>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33F"/>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5A8B"/>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C2"/>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3CC4"/>
    <w:rsid w:val="00EC5422"/>
    <w:rsid w:val="00EC5ED8"/>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F1B"/>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0F7"/>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0EC"/>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BA1"/>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0ECC"/>
    <w:rsid w:val="00FE131F"/>
    <w:rsid w:val="00FE165B"/>
    <w:rsid w:val="00FE209B"/>
    <w:rsid w:val="00FE25B0"/>
    <w:rsid w:val="00FE346E"/>
    <w:rsid w:val="00FE36A7"/>
    <w:rsid w:val="00FE3D21"/>
    <w:rsid w:val="00FE3D52"/>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86631E"/>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149932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9117473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27607248">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8957194">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55</TotalTime>
  <Pages>3</Pages>
  <Words>878</Words>
  <Characters>4581</Characters>
  <Application>Microsoft Office Word</Application>
  <DocSecurity>0</DocSecurity>
  <Lines>38</Lines>
  <Paragraphs>10</Paragraphs>
  <ScaleCrop>false</ScaleCrop>
  <Company>NEC Group</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41</cp:revision>
  <cp:lastPrinted>2012-09-28T09:55:00Z</cp:lastPrinted>
  <dcterms:created xsi:type="dcterms:W3CDTF">2024-08-08T16:09:00Z</dcterms:created>
  <dcterms:modified xsi:type="dcterms:W3CDTF">2024-08-09T16:22:00Z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